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9B0BA" w14:textId="77777777" w:rsidR="000D0B11" w:rsidRPr="00425059" w:rsidRDefault="000D0B11" w:rsidP="000D0B11">
      <w:pPr>
        <w:autoSpaceDE w:val="0"/>
        <w:autoSpaceDN w:val="0"/>
        <w:spacing w:before="12" w:line="336" w:lineRule="exact"/>
        <w:ind w:right="-6" w:firstLine="810"/>
        <w:rPr>
          <w:rFonts w:eastAsia="Verdana" w:cstheme="minorHAnsi"/>
          <w:b/>
          <w:sz w:val="32"/>
          <w:szCs w:val="32"/>
        </w:rPr>
      </w:pPr>
      <w:r>
        <w:rPr>
          <w:b/>
          <w:color w:val="2E74B5"/>
          <w:spacing w:val="-1"/>
        </w:rPr>
        <w:t>How to Pursue a Class I Misdemeanor</w:t>
      </w:r>
    </w:p>
    <w:p w14:paraId="01EDA538" w14:textId="17C6340B" w:rsidR="000D0B11" w:rsidRPr="00425059" w:rsidRDefault="000D0B11" w:rsidP="000D0B11">
      <w:pPr>
        <w:autoSpaceDE w:val="0"/>
        <w:autoSpaceDN w:val="0"/>
        <w:spacing w:before="280" w:line="240" w:lineRule="exact"/>
        <w:ind w:left="810" w:right="445"/>
        <w:rPr>
          <w:rFonts w:eastAsia="Verdana" w:cs="Calibri Light"/>
        </w:rPr>
      </w:pPr>
      <w:r w:rsidRPr="00425059">
        <w:rPr>
          <w:rFonts w:eastAsia="Verdana" w:cs="Calibri Light"/>
        </w:rPr>
        <w:t>T</w:t>
      </w:r>
      <w:r>
        <w:rPr>
          <w:rFonts w:eastAsia="Verdana" w:cs="Calibri Light"/>
        </w:rPr>
        <w:t>his section</w:t>
      </w:r>
      <w:r w:rsidRPr="00425059">
        <w:rPr>
          <w:rFonts w:eastAsia="Verdana" w:cs="Calibri Light"/>
        </w:rPr>
        <w:t xml:space="preserve"> details the procedures needed to pursue a Class 1 misdemeanor for violations of public health statutes, state regulations or conditions of a permit (§</w:t>
      </w:r>
      <w:hyperlink r:id="rId5" w:history="1">
        <w:r w:rsidRPr="00425059">
          <w:rPr>
            <w:rStyle w:val="Hyperlink"/>
            <w:rFonts w:eastAsia="Verdana" w:cs="Calibri Light"/>
          </w:rPr>
          <w:t>130A-25(a)</w:t>
        </w:r>
      </w:hyperlink>
      <w:r w:rsidRPr="00425059">
        <w:rPr>
          <w:rFonts w:eastAsia="Verdana" w:cs="Calibri Light"/>
        </w:rPr>
        <w:t>, see also §</w:t>
      </w:r>
      <w:hyperlink r:id="rId6" w:history="1">
        <w:r w:rsidRPr="0010096E">
          <w:rPr>
            <w:rStyle w:val="Hyperlink"/>
            <w:rFonts w:eastAsia="Verdana" w:cs="Calibri Light"/>
          </w:rPr>
          <w:t>14-3(a)</w:t>
        </w:r>
      </w:hyperlink>
      <w:bookmarkStart w:id="0" w:name="_GoBack"/>
      <w:bookmarkEnd w:id="0"/>
      <w:r w:rsidRPr="00425059">
        <w:rPr>
          <w:rFonts w:eastAsia="Verdana" w:cs="Calibri Light"/>
        </w:rPr>
        <w:t xml:space="preserve"> which provides that any unclassified misdemeanor is considered a Class 1 misdemeanor).</w:t>
      </w:r>
    </w:p>
    <w:p w14:paraId="14E7FA10" w14:textId="77777777" w:rsidR="000D0B11" w:rsidRPr="00425059" w:rsidRDefault="000D0B11" w:rsidP="000D0B11">
      <w:pPr>
        <w:autoSpaceDE w:val="0"/>
        <w:autoSpaceDN w:val="0"/>
        <w:spacing w:before="1"/>
        <w:rPr>
          <w:rFonts w:eastAsia="Verdana" w:cs="Calibri Light"/>
        </w:rPr>
      </w:pPr>
    </w:p>
    <w:p w14:paraId="2270EB71" w14:textId="77777777" w:rsidR="000D0B11" w:rsidRPr="00425059" w:rsidRDefault="000D0B11" w:rsidP="000D0B11">
      <w:pPr>
        <w:numPr>
          <w:ilvl w:val="0"/>
          <w:numId w:val="2"/>
        </w:numPr>
        <w:tabs>
          <w:tab w:val="left" w:pos="879"/>
          <w:tab w:val="left" w:pos="880"/>
        </w:tabs>
        <w:autoSpaceDE w:val="0"/>
        <w:autoSpaceDN w:val="0"/>
        <w:spacing w:before="109" w:line="240" w:lineRule="exact"/>
        <w:ind w:right="189"/>
        <w:rPr>
          <w:rFonts w:eastAsia="Verdana" w:cs="Calibri Light"/>
        </w:rPr>
      </w:pPr>
      <w:r w:rsidRPr="00425059">
        <w:rPr>
          <w:rFonts w:eastAsia="Verdana" w:cs="Calibri Light"/>
        </w:rPr>
        <w:t>Decide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whether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to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seek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a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criminal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charge: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Discuss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the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facts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with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your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county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attorney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and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a prosecutor before seeking a criminal charge.</w:t>
      </w:r>
    </w:p>
    <w:p w14:paraId="61051E4C" w14:textId="77777777" w:rsidR="000D0B11" w:rsidRPr="00425059" w:rsidRDefault="000D0B11" w:rsidP="000D0B11">
      <w:pPr>
        <w:autoSpaceDE w:val="0"/>
        <w:autoSpaceDN w:val="0"/>
        <w:spacing w:before="11"/>
        <w:rPr>
          <w:rFonts w:eastAsia="Verdana" w:cs="Calibri Light"/>
        </w:rPr>
      </w:pPr>
    </w:p>
    <w:p w14:paraId="1C68380E" w14:textId="77777777" w:rsidR="000D0B11" w:rsidRPr="00425059" w:rsidRDefault="000D0B11" w:rsidP="000D0B11">
      <w:pPr>
        <w:numPr>
          <w:ilvl w:val="0"/>
          <w:numId w:val="2"/>
        </w:numPr>
        <w:tabs>
          <w:tab w:val="left" w:pos="879"/>
          <w:tab w:val="left" w:pos="880"/>
        </w:tabs>
        <w:autoSpaceDE w:val="0"/>
        <w:autoSpaceDN w:val="0"/>
        <w:spacing w:line="242" w:lineRule="exact"/>
        <w:rPr>
          <w:rFonts w:eastAsia="Verdana" w:cs="Calibri Light"/>
        </w:rPr>
      </w:pPr>
      <w:r w:rsidRPr="00425059">
        <w:rPr>
          <w:rFonts w:eastAsia="Verdana" w:cs="Calibri Light"/>
          <w:spacing w:val="-3"/>
        </w:rPr>
        <w:t xml:space="preserve">Typical </w:t>
      </w:r>
      <w:r w:rsidRPr="00425059">
        <w:rPr>
          <w:rFonts w:eastAsia="Verdana" w:cs="Calibri Light"/>
        </w:rPr>
        <w:t>steps for pursuing a Class 1</w:t>
      </w:r>
      <w:r w:rsidRPr="00425059">
        <w:rPr>
          <w:rFonts w:eastAsia="Verdana" w:cs="Calibri Light"/>
          <w:spacing w:val="-2"/>
        </w:rPr>
        <w:t xml:space="preserve"> </w:t>
      </w:r>
      <w:r w:rsidRPr="00425059">
        <w:rPr>
          <w:rFonts w:eastAsia="Verdana" w:cs="Calibri Light"/>
        </w:rPr>
        <w:t>misdemeanor:</w:t>
      </w:r>
    </w:p>
    <w:p w14:paraId="653B40E2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Appear before a judicial official (usually a magistrate) in the county where</w:t>
      </w:r>
      <w:r w:rsidRPr="00425059">
        <w:rPr>
          <w:rFonts w:eastAsia="Verdana" w:cs="Calibri Light"/>
          <w:spacing w:val="-44"/>
        </w:rPr>
        <w:t xml:space="preserve"> </w:t>
      </w:r>
      <w:r w:rsidRPr="00425059">
        <w:rPr>
          <w:rFonts w:eastAsia="Verdana" w:cs="Calibri Light"/>
        </w:rPr>
        <w:t>the</w:t>
      </w:r>
    </w:p>
    <w:p w14:paraId="2D35091A" w14:textId="77777777" w:rsidR="000D0B11" w:rsidRPr="00425059" w:rsidRDefault="000D0B11" w:rsidP="000D0B11">
      <w:pPr>
        <w:autoSpaceDE w:val="0"/>
        <w:autoSpaceDN w:val="0"/>
        <w:spacing w:line="240" w:lineRule="exact"/>
        <w:ind w:left="2320"/>
        <w:rPr>
          <w:rFonts w:eastAsia="Verdana" w:cs="Calibri Light"/>
        </w:rPr>
      </w:pPr>
      <w:r w:rsidRPr="00425059">
        <w:rPr>
          <w:rFonts w:eastAsia="Verdana" w:cs="Calibri Light"/>
        </w:rPr>
        <w:t>violation occurred.</w:t>
      </w:r>
    </w:p>
    <w:p w14:paraId="66AAEC9B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Bring a copy of the statute, rule, or ordinance allegedly</w:t>
      </w:r>
      <w:r w:rsidRPr="00425059">
        <w:rPr>
          <w:rFonts w:eastAsia="Verdana" w:cs="Calibri Light"/>
          <w:spacing w:val="-5"/>
        </w:rPr>
        <w:t xml:space="preserve"> </w:t>
      </w:r>
      <w:r w:rsidRPr="00425059">
        <w:rPr>
          <w:rFonts w:eastAsia="Verdana" w:cs="Calibri Light"/>
        </w:rPr>
        <w:t>violated.</w:t>
      </w:r>
    </w:p>
    <w:p w14:paraId="4643DF0F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  <w:spacing w:val="-4"/>
        </w:rPr>
        <w:t xml:space="preserve">Testify </w:t>
      </w:r>
      <w:r w:rsidRPr="00425059">
        <w:rPr>
          <w:rFonts w:eastAsia="Verdana" w:cs="Calibri Light"/>
        </w:rPr>
        <w:t>under oath before the judicial</w:t>
      </w:r>
      <w:r w:rsidRPr="00425059">
        <w:rPr>
          <w:rFonts w:eastAsia="Verdana" w:cs="Calibri Light"/>
          <w:spacing w:val="9"/>
        </w:rPr>
        <w:t xml:space="preserve"> </w:t>
      </w:r>
      <w:r w:rsidRPr="00425059">
        <w:rPr>
          <w:rFonts w:eastAsia="Verdana" w:cs="Calibri Light"/>
        </w:rPr>
        <w:t>official.</w:t>
      </w:r>
    </w:p>
    <w:p w14:paraId="34D119BE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before="7" w:line="240" w:lineRule="exact"/>
        <w:ind w:right="187"/>
        <w:rPr>
          <w:rFonts w:eastAsia="Verdana" w:cs="Calibri Light"/>
        </w:rPr>
      </w:pPr>
      <w:r w:rsidRPr="00425059">
        <w:rPr>
          <w:rFonts w:eastAsia="Verdana" w:cs="Calibri Light"/>
        </w:rPr>
        <w:t>Reliable hearsay evidence is admissible when a judicial official determines whether there is probable cause to charge an offense. Therefore, all witnesses need not testify when a judicial official</w:t>
      </w:r>
      <w:r w:rsidRPr="00425059">
        <w:rPr>
          <w:rFonts w:eastAsia="Verdana" w:cs="Calibri Light"/>
          <w:spacing w:val="-35"/>
        </w:rPr>
        <w:t xml:space="preserve"> </w:t>
      </w:r>
      <w:r w:rsidRPr="00425059">
        <w:rPr>
          <w:rFonts w:eastAsia="Verdana" w:cs="Calibri Light"/>
        </w:rPr>
        <w:t>decides whether to issue a criminal</w:t>
      </w:r>
      <w:r w:rsidRPr="00425059">
        <w:rPr>
          <w:rFonts w:eastAsia="Verdana" w:cs="Calibri Light"/>
          <w:spacing w:val="-10"/>
        </w:rPr>
        <w:t xml:space="preserve"> </w:t>
      </w:r>
      <w:r w:rsidRPr="00425059">
        <w:rPr>
          <w:rFonts w:eastAsia="Verdana" w:cs="Calibri Light"/>
        </w:rPr>
        <w:t>charge.</w:t>
      </w:r>
    </w:p>
    <w:p w14:paraId="54D558F3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32" w:lineRule="exact"/>
        <w:rPr>
          <w:rFonts w:eastAsia="Verdana" w:cs="Calibri Light"/>
        </w:rPr>
      </w:pPr>
      <w:r w:rsidRPr="00425059">
        <w:rPr>
          <w:rFonts w:eastAsia="Verdana" w:cs="Calibri Light"/>
        </w:rPr>
        <w:t>Other witnesses also may testify under</w:t>
      </w:r>
      <w:r w:rsidRPr="00425059">
        <w:rPr>
          <w:rFonts w:eastAsia="Verdana" w:cs="Calibri Light"/>
          <w:spacing w:val="-18"/>
        </w:rPr>
        <w:t xml:space="preserve"> </w:t>
      </w:r>
      <w:r w:rsidRPr="00425059">
        <w:rPr>
          <w:rFonts w:eastAsia="Verdana" w:cs="Calibri Light"/>
        </w:rPr>
        <w:t>oath.</w:t>
      </w:r>
    </w:p>
    <w:p w14:paraId="17C254B2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Make sure the judicial official lists all witnesses on the</w:t>
      </w:r>
      <w:r w:rsidRPr="00425059">
        <w:rPr>
          <w:rFonts w:eastAsia="Verdana" w:cs="Calibri Light"/>
          <w:spacing w:val="-4"/>
        </w:rPr>
        <w:t xml:space="preserve"> </w:t>
      </w:r>
      <w:r w:rsidRPr="00425059">
        <w:rPr>
          <w:rFonts w:eastAsia="Verdana" w:cs="Calibri Light"/>
        </w:rPr>
        <w:t>criminal</w:t>
      </w:r>
    </w:p>
    <w:p w14:paraId="1537F228" w14:textId="77777777" w:rsidR="000D0B11" w:rsidRPr="00425059" w:rsidRDefault="000D0B11" w:rsidP="000D0B11">
      <w:pPr>
        <w:autoSpaceDE w:val="0"/>
        <w:autoSpaceDN w:val="0"/>
        <w:spacing w:line="242" w:lineRule="exact"/>
        <w:ind w:left="3040"/>
        <w:rPr>
          <w:rFonts w:eastAsia="Verdana" w:cs="Calibri Light"/>
        </w:rPr>
      </w:pPr>
      <w:r w:rsidRPr="00425059">
        <w:rPr>
          <w:rFonts w:eastAsia="Verdana" w:cs="Calibri Light"/>
        </w:rPr>
        <w:t>pleading to facilitate the issuance of subpoenas.</w:t>
      </w:r>
    </w:p>
    <w:p w14:paraId="1E519292" w14:textId="77777777" w:rsidR="000D0B11" w:rsidRPr="00425059" w:rsidRDefault="000D0B11" w:rsidP="000D0B11">
      <w:pPr>
        <w:autoSpaceDE w:val="0"/>
        <w:autoSpaceDN w:val="0"/>
        <w:spacing w:before="3"/>
        <w:rPr>
          <w:rFonts w:eastAsia="Verdana" w:cs="Calibri Light"/>
        </w:rPr>
      </w:pPr>
    </w:p>
    <w:p w14:paraId="3A709AB2" w14:textId="77777777" w:rsidR="000D0B11" w:rsidRPr="00425059" w:rsidRDefault="000D0B11" w:rsidP="000D0B11">
      <w:pPr>
        <w:numPr>
          <w:ilvl w:val="0"/>
          <w:numId w:val="2"/>
        </w:numPr>
        <w:tabs>
          <w:tab w:val="left" w:pos="879"/>
          <w:tab w:val="left" w:pos="880"/>
        </w:tabs>
        <w:autoSpaceDE w:val="0"/>
        <w:autoSpaceDN w:val="0"/>
        <w:spacing w:line="240" w:lineRule="exact"/>
        <w:ind w:right="860"/>
        <w:rPr>
          <w:rFonts w:eastAsia="Verdana" w:cs="Calibri Light"/>
        </w:rPr>
      </w:pPr>
      <w:r w:rsidRPr="00425059">
        <w:rPr>
          <w:rFonts w:eastAsia="Verdana" w:cs="Calibri Light"/>
        </w:rPr>
        <w:t>Specify a type of criminal pleading, which is a document that charges a person with a criminal offense or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>infraction.</w:t>
      </w:r>
    </w:p>
    <w:p w14:paraId="0CEB6639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32" w:lineRule="exact"/>
        <w:rPr>
          <w:rFonts w:eastAsia="Verdana" w:cs="Calibri Light"/>
        </w:rPr>
      </w:pPr>
      <w:r w:rsidRPr="00425059">
        <w:rPr>
          <w:rFonts w:eastAsia="Verdana" w:cs="Calibri Light"/>
        </w:rPr>
        <w:t>Arrest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>warrant.</w:t>
      </w:r>
    </w:p>
    <w:p w14:paraId="3DBD5E17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May charge a felony or misdemeanor and requires the</w:t>
      </w:r>
      <w:r w:rsidRPr="00425059">
        <w:rPr>
          <w:rFonts w:eastAsia="Verdana" w:cs="Calibri Light"/>
          <w:spacing w:val="-11"/>
        </w:rPr>
        <w:t xml:space="preserve"> </w:t>
      </w:r>
      <w:r w:rsidRPr="00425059">
        <w:rPr>
          <w:rFonts w:eastAsia="Verdana" w:cs="Calibri Light"/>
        </w:rPr>
        <w:t>defendant’s</w:t>
      </w:r>
    </w:p>
    <w:p w14:paraId="24CF79D7" w14:textId="77777777" w:rsidR="000D0B11" w:rsidRPr="00425059" w:rsidRDefault="000D0B11" w:rsidP="000D0B11">
      <w:pPr>
        <w:autoSpaceDE w:val="0"/>
        <w:autoSpaceDN w:val="0"/>
        <w:spacing w:line="240" w:lineRule="exact"/>
        <w:ind w:left="3040"/>
        <w:rPr>
          <w:rFonts w:eastAsia="Verdana" w:cs="Calibri Light"/>
        </w:rPr>
      </w:pPr>
      <w:r w:rsidRPr="00425059">
        <w:rPr>
          <w:rFonts w:eastAsia="Verdana" w:cs="Calibri Light"/>
        </w:rPr>
        <w:t>arrest.</w:t>
      </w:r>
    </w:p>
    <w:p w14:paraId="4681ECA5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Is issued by a judicial official, usually a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magistrate.</w:t>
      </w:r>
    </w:p>
    <w:p w14:paraId="016050FC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Criminal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>summons.</w:t>
      </w:r>
    </w:p>
    <w:p w14:paraId="670F7B42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before="7" w:line="240" w:lineRule="exact"/>
        <w:ind w:left="2320" w:right="368"/>
        <w:rPr>
          <w:rFonts w:eastAsia="Verdana" w:cs="Calibri Light"/>
        </w:rPr>
      </w:pPr>
      <w:r w:rsidRPr="00425059">
        <w:rPr>
          <w:rFonts w:eastAsia="Verdana" w:cs="Calibri Light"/>
        </w:rPr>
        <w:t xml:space="preserve">May charge a </w:t>
      </w:r>
      <w:r w:rsidRPr="00425059">
        <w:rPr>
          <w:rFonts w:eastAsia="Verdana" w:cs="Calibri Light"/>
          <w:spacing w:val="-4"/>
        </w:rPr>
        <w:t xml:space="preserve">felony, </w:t>
      </w:r>
      <w:r w:rsidRPr="00425059">
        <w:rPr>
          <w:rFonts w:eastAsia="Verdana" w:cs="Calibri Light"/>
          <w:spacing w:val="-3"/>
        </w:rPr>
        <w:t xml:space="preserve">misdemeanor, </w:t>
      </w:r>
      <w:r w:rsidRPr="00425059">
        <w:rPr>
          <w:rFonts w:eastAsia="Verdana" w:cs="Calibri Light"/>
        </w:rPr>
        <w:t>or infraction and is served on the defendant, but the defendant is not arrested. Instead, the defendant is ordered to appear in court on a specific date.</w:t>
      </w:r>
    </w:p>
    <w:p w14:paraId="57F87728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32" w:lineRule="exact"/>
        <w:rPr>
          <w:rFonts w:eastAsia="Verdana" w:cs="Calibri Light"/>
        </w:rPr>
      </w:pPr>
      <w:r w:rsidRPr="00425059">
        <w:rPr>
          <w:rFonts w:eastAsia="Verdana" w:cs="Calibri Light"/>
        </w:rPr>
        <w:t>Is issued by a judicial official, usually a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magistrate.</w:t>
      </w:r>
    </w:p>
    <w:p w14:paraId="72001936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Citation.</w:t>
      </w:r>
    </w:p>
    <w:p w14:paraId="08D42B1A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40" w:lineRule="exact"/>
        <w:ind w:left="2320"/>
        <w:rPr>
          <w:rFonts w:eastAsia="Verdana" w:cs="Calibri Light"/>
        </w:rPr>
      </w:pPr>
      <w:r w:rsidRPr="00425059">
        <w:rPr>
          <w:rFonts w:eastAsia="Verdana" w:cs="Calibri Light"/>
        </w:rPr>
        <w:t>May charge a misdemeanor or an</w:t>
      </w:r>
      <w:r w:rsidRPr="00425059">
        <w:rPr>
          <w:rFonts w:eastAsia="Verdana" w:cs="Calibri Light"/>
          <w:spacing w:val="-11"/>
        </w:rPr>
        <w:t xml:space="preserve"> </w:t>
      </w:r>
      <w:r w:rsidRPr="00425059">
        <w:rPr>
          <w:rFonts w:eastAsia="Verdana" w:cs="Calibri Light"/>
        </w:rPr>
        <w:t>infraction.</w:t>
      </w:r>
    </w:p>
    <w:p w14:paraId="4E8628EF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before="8" w:line="240" w:lineRule="exact"/>
        <w:ind w:left="2320" w:right="470"/>
        <w:rPr>
          <w:rFonts w:eastAsia="Verdana" w:cs="Calibri Light"/>
        </w:rPr>
      </w:pPr>
      <w:r w:rsidRPr="00425059">
        <w:rPr>
          <w:rFonts w:eastAsia="Verdana" w:cs="Calibri Light"/>
        </w:rPr>
        <w:t>May be issued only by a law enforcement officer or other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>authorized person. The citation informs the defendant to appear in court on a specific date. The defendant is not</w:t>
      </w:r>
      <w:r w:rsidRPr="00425059">
        <w:rPr>
          <w:rFonts w:eastAsia="Verdana" w:cs="Calibri Light"/>
          <w:spacing w:val="-4"/>
        </w:rPr>
        <w:t xml:space="preserve"> </w:t>
      </w:r>
      <w:r w:rsidRPr="00425059">
        <w:rPr>
          <w:rFonts w:eastAsia="Verdana" w:cs="Calibri Light"/>
        </w:rPr>
        <w:t>arrested.</w:t>
      </w:r>
    </w:p>
    <w:p w14:paraId="0BDD4446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32" w:lineRule="exact"/>
        <w:rPr>
          <w:rFonts w:eastAsia="Verdana" w:cs="Calibri Light"/>
        </w:rPr>
      </w:pPr>
      <w:r w:rsidRPr="00425059">
        <w:rPr>
          <w:rFonts w:eastAsia="Verdana" w:cs="Calibri Light"/>
        </w:rPr>
        <w:t>Magistrate’s</w:t>
      </w:r>
      <w:r w:rsidRPr="00425059">
        <w:rPr>
          <w:rFonts w:eastAsia="Verdana" w:cs="Calibri Light"/>
          <w:spacing w:val="-11"/>
        </w:rPr>
        <w:t xml:space="preserve"> </w:t>
      </w:r>
      <w:r w:rsidRPr="00425059">
        <w:rPr>
          <w:rFonts w:eastAsia="Verdana" w:cs="Calibri Light"/>
          <w:spacing w:val="-5"/>
        </w:rPr>
        <w:t>order.</w:t>
      </w:r>
    </w:p>
    <w:p w14:paraId="4290F70A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line="240" w:lineRule="exact"/>
        <w:rPr>
          <w:rFonts w:eastAsia="Verdana" w:cs="Calibri Light"/>
        </w:rPr>
      </w:pPr>
      <w:r w:rsidRPr="00425059">
        <w:rPr>
          <w:rFonts w:eastAsia="Verdana" w:cs="Calibri Light"/>
        </w:rPr>
        <w:t>May charge a felony or a</w:t>
      </w:r>
      <w:r w:rsidRPr="00425059">
        <w:rPr>
          <w:rFonts w:eastAsia="Verdana" w:cs="Calibri Light"/>
          <w:spacing w:val="1"/>
        </w:rPr>
        <w:t xml:space="preserve"> </w:t>
      </w:r>
      <w:r w:rsidRPr="00425059">
        <w:rPr>
          <w:rFonts w:eastAsia="Verdana" w:cs="Calibri Light"/>
          <w:spacing w:val="-3"/>
        </w:rPr>
        <w:t>misdemeanor.</w:t>
      </w:r>
    </w:p>
    <w:p w14:paraId="4E620AA8" w14:textId="77777777" w:rsidR="000D0B11" w:rsidRPr="00425059" w:rsidRDefault="000D0B11" w:rsidP="000D0B11">
      <w:pPr>
        <w:numPr>
          <w:ilvl w:val="2"/>
          <w:numId w:val="2"/>
        </w:numPr>
        <w:tabs>
          <w:tab w:val="left" w:pos="3039"/>
          <w:tab w:val="left" w:pos="3040"/>
        </w:tabs>
        <w:autoSpaceDE w:val="0"/>
        <w:autoSpaceDN w:val="0"/>
        <w:spacing w:before="7" w:line="240" w:lineRule="exact"/>
        <w:ind w:right="441"/>
        <w:rPr>
          <w:rFonts w:eastAsia="Verdana" w:cs="Calibri Light"/>
        </w:rPr>
      </w:pPr>
      <w:r w:rsidRPr="00425059">
        <w:rPr>
          <w:rFonts w:eastAsia="Verdana" w:cs="Calibri Light"/>
        </w:rPr>
        <w:t>Is issued by a judicial official, usually a magistrate, and only when a law enforcement officer has arrested a defendant without a</w:t>
      </w:r>
      <w:r w:rsidRPr="00425059">
        <w:rPr>
          <w:rFonts w:eastAsia="Verdana" w:cs="Calibri Light"/>
          <w:spacing w:val="-8"/>
        </w:rPr>
        <w:t xml:space="preserve"> </w:t>
      </w:r>
      <w:r w:rsidRPr="00425059">
        <w:rPr>
          <w:rFonts w:eastAsia="Verdana" w:cs="Calibri Light"/>
        </w:rPr>
        <w:t>warrant.</w:t>
      </w:r>
    </w:p>
    <w:p w14:paraId="223FA893" w14:textId="77777777" w:rsidR="000D0B11" w:rsidRPr="00425059" w:rsidRDefault="000D0B11" w:rsidP="000D0B11">
      <w:pPr>
        <w:numPr>
          <w:ilvl w:val="1"/>
          <w:numId w:val="2"/>
        </w:numPr>
        <w:tabs>
          <w:tab w:val="left" w:pos="2319"/>
          <w:tab w:val="left" w:pos="2320"/>
        </w:tabs>
        <w:autoSpaceDE w:val="0"/>
        <w:autoSpaceDN w:val="0"/>
        <w:spacing w:line="234" w:lineRule="exact"/>
        <w:rPr>
          <w:rFonts w:eastAsia="Verdana" w:cs="Calibri Light"/>
        </w:rPr>
      </w:pPr>
      <w:r w:rsidRPr="00425059">
        <w:rPr>
          <w:rFonts w:eastAsia="Verdana" w:cs="Calibri Light"/>
        </w:rPr>
        <w:t>Statement of</w:t>
      </w:r>
      <w:r w:rsidRPr="00425059">
        <w:rPr>
          <w:rFonts w:eastAsia="Verdana" w:cs="Calibri Light"/>
          <w:spacing w:val="-1"/>
        </w:rPr>
        <w:t xml:space="preserve"> </w:t>
      </w:r>
      <w:r w:rsidRPr="00425059">
        <w:rPr>
          <w:rFonts w:eastAsia="Verdana" w:cs="Calibri Light"/>
        </w:rPr>
        <w:t>charges</w:t>
      </w:r>
    </w:p>
    <w:p w14:paraId="7F32C533" w14:textId="77777777" w:rsidR="000D0B11" w:rsidRPr="00425059" w:rsidRDefault="000D0B11" w:rsidP="000D0B11">
      <w:pPr>
        <w:numPr>
          <w:ilvl w:val="2"/>
          <w:numId w:val="2"/>
        </w:numPr>
        <w:tabs>
          <w:tab w:val="left" w:pos="3034"/>
          <w:tab w:val="left" w:pos="3035"/>
        </w:tabs>
        <w:autoSpaceDE w:val="0"/>
        <w:autoSpaceDN w:val="0"/>
        <w:spacing w:before="128" w:line="242" w:lineRule="exact"/>
        <w:rPr>
          <w:rFonts w:eastAsia="Verdana" w:cs="Calibri Light"/>
        </w:rPr>
      </w:pPr>
      <w:r w:rsidRPr="00425059">
        <w:rPr>
          <w:rFonts w:eastAsia="Verdana" w:cs="Calibri Light"/>
        </w:rPr>
        <w:t>May charge misdemeanor or</w:t>
      </w:r>
      <w:r w:rsidRPr="00425059">
        <w:rPr>
          <w:rFonts w:eastAsia="Verdana" w:cs="Calibri Light"/>
          <w:spacing w:val="-11"/>
        </w:rPr>
        <w:t xml:space="preserve"> </w:t>
      </w:r>
      <w:r w:rsidRPr="00425059">
        <w:rPr>
          <w:rFonts w:eastAsia="Verdana" w:cs="Calibri Light"/>
        </w:rPr>
        <w:t>infraction.</w:t>
      </w:r>
    </w:p>
    <w:p w14:paraId="59C41F66" w14:textId="77777777" w:rsidR="000D0B11" w:rsidRPr="00425059" w:rsidRDefault="000D0B11" w:rsidP="000D0B11">
      <w:pPr>
        <w:numPr>
          <w:ilvl w:val="2"/>
          <w:numId w:val="2"/>
        </w:numPr>
        <w:tabs>
          <w:tab w:val="left" w:pos="3034"/>
          <w:tab w:val="left" w:pos="3035"/>
        </w:tabs>
        <w:autoSpaceDE w:val="0"/>
        <w:autoSpaceDN w:val="0"/>
        <w:spacing w:before="7" w:line="240" w:lineRule="exact"/>
        <w:ind w:left="3035" w:right="305"/>
        <w:rPr>
          <w:rFonts w:eastAsia="Verdana" w:cs="Calibri Light"/>
        </w:rPr>
      </w:pPr>
      <w:r w:rsidRPr="00425059">
        <w:rPr>
          <w:rFonts w:eastAsia="Verdana" w:cs="Calibri Light"/>
        </w:rPr>
        <w:t xml:space="preserve">May be issued by the </w:t>
      </w:r>
      <w:r w:rsidRPr="00425059">
        <w:rPr>
          <w:rFonts w:eastAsia="Verdana" w:cs="Calibri Light"/>
          <w:spacing w:val="-3"/>
        </w:rPr>
        <w:t xml:space="preserve">prosecutor, </w:t>
      </w:r>
      <w:r w:rsidRPr="00425059">
        <w:rPr>
          <w:rFonts w:eastAsia="Verdana" w:cs="Calibri Light"/>
        </w:rPr>
        <w:t>before arraignment in district court, to amend the original charge, to substitute another charge for the original charge, or to add new charges with the original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>charge.</w:t>
      </w:r>
    </w:p>
    <w:p w14:paraId="53F57F38" w14:textId="77777777" w:rsidR="000D0B11" w:rsidRPr="00425059" w:rsidRDefault="000D0B11" w:rsidP="000D0B11">
      <w:pPr>
        <w:numPr>
          <w:ilvl w:val="1"/>
          <w:numId w:val="2"/>
        </w:numPr>
        <w:tabs>
          <w:tab w:val="left" w:pos="2314"/>
          <w:tab w:val="left" w:pos="2315"/>
        </w:tabs>
        <w:autoSpaceDE w:val="0"/>
        <w:autoSpaceDN w:val="0"/>
        <w:spacing w:line="232" w:lineRule="exact"/>
        <w:ind w:left="2315"/>
        <w:rPr>
          <w:rFonts w:eastAsia="Verdana" w:cs="Calibri Light"/>
        </w:rPr>
      </w:pPr>
      <w:r w:rsidRPr="00425059">
        <w:rPr>
          <w:rFonts w:eastAsia="Verdana" w:cs="Calibri Light"/>
        </w:rPr>
        <w:t>Indictment.</w:t>
      </w:r>
    </w:p>
    <w:p w14:paraId="0C1E6828" w14:textId="77777777" w:rsidR="000D0B11" w:rsidRPr="00425059" w:rsidRDefault="000D0B11" w:rsidP="000D0B11">
      <w:pPr>
        <w:numPr>
          <w:ilvl w:val="2"/>
          <w:numId w:val="2"/>
        </w:numPr>
        <w:tabs>
          <w:tab w:val="left" w:pos="3034"/>
          <w:tab w:val="left" w:pos="3035"/>
        </w:tabs>
        <w:autoSpaceDE w:val="0"/>
        <w:autoSpaceDN w:val="0"/>
        <w:spacing w:before="7" w:line="240" w:lineRule="exact"/>
        <w:ind w:left="3035" w:right="473"/>
        <w:rPr>
          <w:rFonts w:eastAsia="Verdana" w:cs="Calibri Light"/>
        </w:rPr>
      </w:pPr>
      <w:r w:rsidRPr="00425059">
        <w:rPr>
          <w:rFonts w:eastAsia="Verdana" w:cs="Calibri Light"/>
        </w:rPr>
        <w:t xml:space="preserve">Prepared by a prosecutor and issued by a grand </w:t>
      </w:r>
      <w:r w:rsidRPr="00425059">
        <w:rPr>
          <w:rFonts w:eastAsia="Verdana" w:cs="Calibri Light"/>
          <w:spacing w:val="-5"/>
        </w:rPr>
        <w:t xml:space="preserve">jury. </w:t>
      </w:r>
      <w:r w:rsidRPr="00425059">
        <w:rPr>
          <w:rFonts w:eastAsia="Verdana" w:cs="Calibri Light"/>
        </w:rPr>
        <w:t>An indictment/information is required for a felony charge. (Superior)</w:t>
      </w:r>
    </w:p>
    <w:p w14:paraId="058E6DB9" w14:textId="77777777" w:rsidR="000D0B11" w:rsidRPr="00425059" w:rsidRDefault="000D0B11" w:rsidP="000D0B11">
      <w:pPr>
        <w:tabs>
          <w:tab w:val="left" w:pos="3034"/>
          <w:tab w:val="left" w:pos="3035"/>
        </w:tabs>
        <w:autoSpaceDE w:val="0"/>
        <w:autoSpaceDN w:val="0"/>
        <w:spacing w:before="7" w:line="240" w:lineRule="exact"/>
        <w:ind w:left="3035" w:right="473"/>
        <w:rPr>
          <w:rFonts w:eastAsia="Verdana" w:cs="Calibri Light"/>
        </w:rPr>
      </w:pPr>
    </w:p>
    <w:p w14:paraId="4414059C" w14:textId="77777777" w:rsidR="000D0B11" w:rsidRPr="00425059" w:rsidRDefault="000D0B11" w:rsidP="000D0B11">
      <w:pPr>
        <w:numPr>
          <w:ilvl w:val="0"/>
          <w:numId w:val="2"/>
        </w:numPr>
        <w:tabs>
          <w:tab w:val="left" w:pos="874"/>
          <w:tab w:val="left" w:pos="875"/>
        </w:tabs>
        <w:autoSpaceDE w:val="0"/>
        <w:autoSpaceDN w:val="0"/>
        <w:spacing w:line="240" w:lineRule="exact"/>
        <w:ind w:right="211"/>
        <w:rPr>
          <w:rFonts w:eastAsia="Verdana" w:cs="Calibri Light"/>
        </w:rPr>
      </w:pPr>
      <w:r w:rsidRPr="00425059">
        <w:rPr>
          <w:rFonts w:eastAsia="Verdana" w:cs="Calibri Light"/>
        </w:rPr>
        <w:t xml:space="preserve">Select proper language in charging offense: Special language for charging violations of city or county </w:t>
      </w:r>
      <w:r w:rsidRPr="00425059">
        <w:rPr>
          <w:rFonts w:eastAsia="Verdana" w:cs="Calibri Light"/>
        </w:rPr>
        <w:lastRenderedPageBreak/>
        <w:t>ordinance (§ 160A-77 through -79; §</w:t>
      </w:r>
      <w:r w:rsidRPr="00425059">
        <w:rPr>
          <w:rFonts w:eastAsia="Verdana" w:cs="Calibri Light"/>
          <w:spacing w:val="-25"/>
        </w:rPr>
        <w:t xml:space="preserve"> </w:t>
      </w:r>
      <w:r w:rsidRPr="00425059">
        <w:rPr>
          <w:rFonts w:eastAsia="Verdana" w:cs="Calibri Light"/>
        </w:rPr>
        <w:t>153A-50).</w:t>
      </w:r>
    </w:p>
    <w:p w14:paraId="4F27FC60" w14:textId="77777777" w:rsidR="000D0B11" w:rsidRPr="00425059" w:rsidRDefault="000D0B11" w:rsidP="000D0B11">
      <w:pPr>
        <w:numPr>
          <w:ilvl w:val="0"/>
          <w:numId w:val="2"/>
        </w:numPr>
        <w:tabs>
          <w:tab w:val="left" w:pos="874"/>
          <w:tab w:val="left" w:pos="875"/>
        </w:tabs>
        <w:autoSpaceDE w:val="0"/>
        <w:autoSpaceDN w:val="0"/>
        <w:spacing w:line="242" w:lineRule="exact"/>
        <w:rPr>
          <w:rFonts w:eastAsia="Verdana" w:cs="Calibri Light"/>
        </w:rPr>
      </w:pPr>
      <w:r w:rsidRPr="00425059">
        <w:rPr>
          <w:rFonts w:eastAsia="Verdana" w:cs="Calibri Light"/>
        </w:rPr>
        <w:t>Prepare the case before a trial:</w:t>
      </w:r>
    </w:p>
    <w:p w14:paraId="4C09CC63" w14:textId="77777777" w:rsidR="000D0B11" w:rsidRPr="00425059" w:rsidRDefault="000D0B11" w:rsidP="000D0B11">
      <w:pPr>
        <w:numPr>
          <w:ilvl w:val="1"/>
          <w:numId w:val="2"/>
        </w:numPr>
        <w:tabs>
          <w:tab w:val="left" w:pos="2314"/>
          <w:tab w:val="left" w:pos="2315"/>
        </w:tabs>
        <w:autoSpaceDE w:val="0"/>
        <w:autoSpaceDN w:val="0"/>
        <w:spacing w:line="240" w:lineRule="exact"/>
        <w:ind w:left="2315"/>
        <w:rPr>
          <w:rFonts w:eastAsia="Verdana" w:cs="Calibri Light"/>
        </w:rPr>
      </w:pPr>
      <w:r w:rsidRPr="00425059">
        <w:rPr>
          <w:rFonts w:eastAsia="Verdana" w:cs="Calibri Light"/>
        </w:rPr>
        <w:t>Discuss, if possible, the case with a prosecutor before the date of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trial.</w:t>
      </w:r>
    </w:p>
    <w:p w14:paraId="2EF2BFD1" w14:textId="77777777" w:rsidR="000D0B11" w:rsidRPr="00425059" w:rsidRDefault="000D0B11" w:rsidP="000D0B11">
      <w:pPr>
        <w:numPr>
          <w:ilvl w:val="1"/>
          <w:numId w:val="2"/>
        </w:numPr>
        <w:tabs>
          <w:tab w:val="left" w:pos="2314"/>
          <w:tab w:val="left" w:pos="2315"/>
        </w:tabs>
        <w:autoSpaceDE w:val="0"/>
        <w:autoSpaceDN w:val="0"/>
        <w:spacing w:before="8" w:line="240" w:lineRule="exact"/>
        <w:ind w:left="2315" w:right="507"/>
        <w:rPr>
          <w:rFonts w:eastAsia="Verdana" w:cs="Calibri Light"/>
        </w:rPr>
      </w:pPr>
      <w:r w:rsidRPr="00425059">
        <w:rPr>
          <w:rFonts w:eastAsia="Verdana" w:cs="Calibri Light"/>
        </w:rPr>
        <w:t>Prepare a one-page statement summarizing what you and other</w:t>
      </w:r>
      <w:r w:rsidRPr="00425059">
        <w:rPr>
          <w:rFonts w:eastAsia="Verdana" w:cs="Calibri Light"/>
          <w:spacing w:val="-17"/>
        </w:rPr>
        <w:t xml:space="preserve"> </w:t>
      </w:r>
      <w:r w:rsidRPr="00425059">
        <w:rPr>
          <w:rFonts w:eastAsia="Verdana" w:cs="Calibri Light"/>
        </w:rPr>
        <w:t>witnesses will testify about in the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case.</w:t>
      </w:r>
    </w:p>
    <w:p w14:paraId="31B58433" w14:textId="77777777" w:rsidR="000D0B11" w:rsidRPr="00425059" w:rsidRDefault="000D0B11" w:rsidP="000D0B11">
      <w:pPr>
        <w:numPr>
          <w:ilvl w:val="1"/>
          <w:numId w:val="2"/>
        </w:numPr>
        <w:tabs>
          <w:tab w:val="left" w:pos="2314"/>
          <w:tab w:val="left" w:pos="2315"/>
        </w:tabs>
        <w:autoSpaceDE w:val="0"/>
        <w:autoSpaceDN w:val="0"/>
        <w:spacing w:line="232" w:lineRule="exact"/>
        <w:ind w:left="2315"/>
        <w:rPr>
          <w:rFonts w:eastAsia="Verdana" w:cs="Calibri Light"/>
        </w:rPr>
      </w:pPr>
      <w:r w:rsidRPr="00425059">
        <w:rPr>
          <w:rFonts w:eastAsia="Verdana" w:cs="Calibri Light"/>
        </w:rPr>
        <w:t>Prepare, if useful, a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>diagram.</w:t>
      </w:r>
    </w:p>
    <w:p w14:paraId="1B9D791D" w14:textId="77777777" w:rsidR="000D0B11" w:rsidRPr="00425059" w:rsidRDefault="000D0B11" w:rsidP="000D0B11">
      <w:pPr>
        <w:numPr>
          <w:ilvl w:val="1"/>
          <w:numId w:val="2"/>
        </w:numPr>
        <w:tabs>
          <w:tab w:val="left" w:pos="2314"/>
          <w:tab w:val="left" w:pos="2315"/>
        </w:tabs>
        <w:autoSpaceDE w:val="0"/>
        <w:autoSpaceDN w:val="0"/>
        <w:spacing w:line="242" w:lineRule="exact"/>
        <w:ind w:left="2315"/>
        <w:rPr>
          <w:rFonts w:eastAsia="Verdana" w:cs="Calibri Light"/>
        </w:rPr>
      </w:pPr>
      <w:r w:rsidRPr="00425059">
        <w:rPr>
          <w:rFonts w:eastAsia="Verdana" w:cs="Calibri Light"/>
        </w:rPr>
        <w:t>Obtain, if necessary, certified copies of local ordinances and</w:t>
      </w:r>
      <w:r w:rsidRPr="00425059">
        <w:rPr>
          <w:rFonts w:eastAsia="Verdana" w:cs="Calibri Light"/>
          <w:spacing w:val="-20"/>
        </w:rPr>
        <w:t xml:space="preserve"> </w:t>
      </w:r>
      <w:r w:rsidRPr="00425059">
        <w:rPr>
          <w:rFonts w:eastAsia="Verdana" w:cs="Calibri Light"/>
        </w:rPr>
        <w:t>rules.</w:t>
      </w:r>
    </w:p>
    <w:p w14:paraId="033C062F" w14:textId="77777777" w:rsidR="000D0B11" w:rsidRPr="00425059" w:rsidRDefault="000D0B11" w:rsidP="000D0B11">
      <w:pPr>
        <w:tabs>
          <w:tab w:val="left" w:pos="2319"/>
          <w:tab w:val="left" w:pos="2320"/>
        </w:tabs>
        <w:autoSpaceDE w:val="0"/>
        <w:autoSpaceDN w:val="0"/>
        <w:spacing w:line="234" w:lineRule="exact"/>
        <w:rPr>
          <w:rFonts w:eastAsia="Verdana" w:cs="Calibri Light"/>
        </w:rPr>
        <w:sectPr w:rsidR="000D0B11" w:rsidRPr="00425059" w:rsidSect="000D0B11">
          <w:pgSz w:w="12240" w:h="15840"/>
          <w:pgMar w:top="1540" w:right="940" w:bottom="1120" w:left="920" w:header="1037" w:footer="877" w:gutter="0"/>
          <w:cols w:space="720"/>
        </w:sectPr>
      </w:pPr>
    </w:p>
    <w:p w14:paraId="30C5F8D7" w14:textId="77777777" w:rsidR="000D0B11" w:rsidRPr="00425059" w:rsidRDefault="000D0B11" w:rsidP="000D0B11">
      <w:pPr>
        <w:autoSpaceDE w:val="0"/>
        <w:autoSpaceDN w:val="0"/>
        <w:spacing w:before="11"/>
        <w:rPr>
          <w:rFonts w:eastAsia="Verdana" w:cs="Calibri Light"/>
        </w:rPr>
      </w:pPr>
    </w:p>
    <w:p w14:paraId="35E819B0" w14:textId="77777777" w:rsidR="000D0B11" w:rsidRPr="00425059" w:rsidRDefault="000D0B11" w:rsidP="000D0B11">
      <w:pPr>
        <w:numPr>
          <w:ilvl w:val="0"/>
          <w:numId w:val="2"/>
        </w:numPr>
        <w:tabs>
          <w:tab w:val="left" w:pos="874"/>
          <w:tab w:val="left" w:pos="875"/>
        </w:tabs>
        <w:autoSpaceDE w:val="0"/>
        <w:autoSpaceDN w:val="0"/>
        <w:spacing w:before="1" w:line="242" w:lineRule="exact"/>
        <w:ind w:left="875"/>
        <w:rPr>
          <w:rFonts w:eastAsia="Verdana" w:cs="Calibri Light"/>
        </w:rPr>
      </w:pPr>
      <w:r w:rsidRPr="00425059">
        <w:rPr>
          <w:rFonts w:eastAsia="Verdana" w:cs="Calibri Light"/>
        </w:rPr>
        <w:t>Seek a trial in district court for a misdemeanor</w:t>
      </w:r>
      <w:r w:rsidRPr="00425059">
        <w:rPr>
          <w:rFonts w:eastAsia="Verdana" w:cs="Calibri Light"/>
          <w:spacing w:val="-4"/>
        </w:rPr>
        <w:t xml:space="preserve"> </w:t>
      </w:r>
      <w:r w:rsidRPr="00425059">
        <w:rPr>
          <w:rFonts w:eastAsia="Verdana" w:cs="Calibri Light"/>
        </w:rPr>
        <w:t>charge.</w:t>
      </w:r>
    </w:p>
    <w:p w14:paraId="242E4DA8" w14:textId="77777777" w:rsidR="000D0B11" w:rsidRPr="00425059" w:rsidRDefault="000D0B11" w:rsidP="000D0B11">
      <w:pPr>
        <w:numPr>
          <w:ilvl w:val="1"/>
          <w:numId w:val="2"/>
        </w:numPr>
        <w:tabs>
          <w:tab w:val="left" w:pos="2314"/>
          <w:tab w:val="left" w:pos="2315"/>
        </w:tabs>
        <w:autoSpaceDE w:val="0"/>
        <w:autoSpaceDN w:val="0"/>
        <w:spacing w:line="240" w:lineRule="exact"/>
        <w:ind w:left="2315"/>
        <w:rPr>
          <w:rFonts w:eastAsia="Verdana" w:cs="Calibri Light"/>
        </w:rPr>
      </w:pPr>
      <w:r w:rsidRPr="00425059">
        <w:rPr>
          <w:rFonts w:eastAsia="Verdana" w:cs="Calibri Light"/>
        </w:rPr>
        <w:t>Procedure:</w:t>
      </w:r>
    </w:p>
    <w:p w14:paraId="1F65DBE8" w14:textId="77777777" w:rsidR="000D0B11" w:rsidRPr="00425059" w:rsidRDefault="000D0B11" w:rsidP="000D0B11">
      <w:pPr>
        <w:numPr>
          <w:ilvl w:val="2"/>
          <w:numId w:val="2"/>
        </w:numPr>
        <w:tabs>
          <w:tab w:val="left" w:pos="3034"/>
          <w:tab w:val="left" w:pos="3035"/>
        </w:tabs>
        <w:autoSpaceDE w:val="0"/>
        <w:autoSpaceDN w:val="0"/>
        <w:spacing w:line="240" w:lineRule="exact"/>
        <w:ind w:left="3035"/>
        <w:rPr>
          <w:rFonts w:eastAsia="Verdana" w:cs="Calibri Light"/>
        </w:rPr>
      </w:pPr>
      <w:r w:rsidRPr="00425059">
        <w:rPr>
          <w:rFonts w:eastAsia="Verdana" w:cs="Calibri Light"/>
        </w:rPr>
        <w:t xml:space="preserve">Arraignment is when a defendant enters a plea of </w:t>
      </w:r>
      <w:r w:rsidRPr="00425059">
        <w:rPr>
          <w:rFonts w:eastAsia="Verdana" w:cs="Calibri Light"/>
          <w:spacing w:val="-4"/>
        </w:rPr>
        <w:t xml:space="preserve">guilty, </w:t>
      </w:r>
      <w:r w:rsidRPr="00425059">
        <w:rPr>
          <w:rFonts w:eastAsia="Verdana" w:cs="Calibri Light"/>
        </w:rPr>
        <w:t>no contest</w:t>
      </w:r>
    </w:p>
    <w:p w14:paraId="21B21DC3" w14:textId="77777777" w:rsidR="000D0B11" w:rsidRPr="00425059" w:rsidRDefault="000D0B11" w:rsidP="000D0B11">
      <w:pPr>
        <w:autoSpaceDE w:val="0"/>
        <w:autoSpaceDN w:val="0"/>
        <w:spacing w:line="240" w:lineRule="exact"/>
        <w:ind w:left="3005" w:right="1121"/>
        <w:jc w:val="center"/>
        <w:rPr>
          <w:rFonts w:eastAsia="Verdana" w:cs="Calibri Light"/>
        </w:rPr>
      </w:pPr>
      <w:r w:rsidRPr="00425059">
        <w:rPr>
          <w:rFonts w:eastAsia="Verdana" w:cs="Calibri Light"/>
        </w:rPr>
        <w:t>(requires consent of the prosecutor and judge), or not guilty.</w:t>
      </w:r>
    </w:p>
    <w:p w14:paraId="492C8A72" w14:textId="77777777" w:rsidR="000D0B11" w:rsidRPr="00425059" w:rsidRDefault="000D0B11" w:rsidP="000D0B11">
      <w:pPr>
        <w:numPr>
          <w:ilvl w:val="3"/>
          <w:numId w:val="2"/>
        </w:numPr>
        <w:tabs>
          <w:tab w:val="left" w:pos="4474"/>
          <w:tab w:val="left" w:pos="4475"/>
        </w:tabs>
        <w:autoSpaceDE w:val="0"/>
        <w:autoSpaceDN w:val="0"/>
        <w:spacing w:before="7" w:line="240" w:lineRule="exact"/>
        <w:ind w:right="856"/>
        <w:rPr>
          <w:rFonts w:eastAsia="Verdana" w:cs="Calibri Light"/>
        </w:rPr>
      </w:pPr>
      <w:r w:rsidRPr="00425059">
        <w:rPr>
          <w:rFonts w:eastAsia="Verdana" w:cs="Calibri Light"/>
        </w:rPr>
        <w:t>Before trial, remind the prosecutor to check if the offense is correctly charged if you are</w:t>
      </w:r>
      <w:r w:rsidRPr="00425059">
        <w:rPr>
          <w:rFonts w:eastAsia="Verdana" w:cs="Calibri Light"/>
          <w:spacing w:val="-6"/>
        </w:rPr>
        <w:t xml:space="preserve"> </w:t>
      </w:r>
      <w:r w:rsidRPr="00425059">
        <w:rPr>
          <w:rFonts w:eastAsia="Verdana" w:cs="Calibri Light"/>
        </w:rPr>
        <w:t>uncertain.</w:t>
      </w:r>
    </w:p>
    <w:p w14:paraId="55180B6B" w14:textId="77777777" w:rsidR="000D0B11" w:rsidRDefault="000D0B11" w:rsidP="000D0B11">
      <w:pPr>
        <w:autoSpaceDE w:val="0"/>
        <w:autoSpaceDN w:val="0"/>
        <w:spacing w:line="240" w:lineRule="exact"/>
        <w:rPr>
          <w:rFonts w:eastAsia="Verdana" w:cs="Calibri Light"/>
        </w:rPr>
      </w:pPr>
    </w:p>
    <w:p w14:paraId="167AF1AD" w14:textId="731B14BD" w:rsidR="000D0B11" w:rsidRPr="000D0B11" w:rsidRDefault="000D0B11" w:rsidP="000D0B11">
      <w:pPr>
        <w:numPr>
          <w:ilvl w:val="2"/>
          <w:numId w:val="2"/>
        </w:numPr>
        <w:tabs>
          <w:tab w:val="left" w:pos="719"/>
          <w:tab w:val="left" w:pos="3035"/>
        </w:tabs>
        <w:autoSpaceDE w:val="0"/>
        <w:autoSpaceDN w:val="0"/>
        <w:spacing w:line="233" w:lineRule="exact"/>
        <w:ind w:left="3035"/>
        <w:rPr>
          <w:rFonts w:eastAsia="Verdana" w:cs="Calibri Light"/>
        </w:rPr>
      </w:pPr>
      <w:r>
        <w:rPr>
          <w:rFonts w:eastAsia="Verdana" w:cs="Calibri Light"/>
          <w:spacing w:val="-4"/>
        </w:rPr>
        <w:t>Trial:</w:t>
      </w:r>
    </w:p>
    <w:p w14:paraId="64F912E4" w14:textId="77777777" w:rsidR="000D0B11" w:rsidRPr="00425059" w:rsidRDefault="000D0B11" w:rsidP="000D0B11">
      <w:pPr>
        <w:numPr>
          <w:ilvl w:val="3"/>
          <w:numId w:val="2"/>
        </w:numPr>
        <w:tabs>
          <w:tab w:val="left" w:pos="980"/>
          <w:tab w:val="left" w:pos="981"/>
        </w:tabs>
        <w:autoSpaceDE w:val="0"/>
        <w:autoSpaceDN w:val="0"/>
        <w:spacing w:line="240" w:lineRule="exact"/>
        <w:ind w:right="389"/>
        <w:rPr>
          <w:rFonts w:eastAsia="Verdana" w:cs="Calibri Light"/>
        </w:rPr>
      </w:pPr>
      <w:r w:rsidRPr="00425059">
        <w:rPr>
          <w:rFonts w:eastAsia="Verdana" w:cs="Calibri Light"/>
        </w:rPr>
        <w:t>A criminal trial in district court is always tried before</w:t>
      </w:r>
      <w:r w:rsidRPr="00425059">
        <w:rPr>
          <w:rFonts w:eastAsia="Verdana" w:cs="Calibri Light"/>
          <w:spacing w:val="-7"/>
        </w:rPr>
        <w:t xml:space="preserve"> </w:t>
      </w:r>
      <w:r w:rsidRPr="00425059">
        <w:rPr>
          <w:rFonts w:eastAsia="Verdana" w:cs="Calibri Light"/>
        </w:rPr>
        <w:t xml:space="preserve">a district court judge without a </w:t>
      </w:r>
      <w:r w:rsidRPr="00425059">
        <w:rPr>
          <w:rFonts w:eastAsia="Verdana" w:cs="Calibri Light"/>
          <w:spacing w:val="-5"/>
        </w:rPr>
        <w:t xml:space="preserve">jury. </w:t>
      </w:r>
      <w:r w:rsidRPr="00425059">
        <w:rPr>
          <w:rFonts w:eastAsia="Verdana" w:cs="Calibri Light"/>
        </w:rPr>
        <w:t>The judge decides whether the defendant is guilty or not guilty of the charge.</w:t>
      </w:r>
    </w:p>
    <w:p w14:paraId="3A61D57E" w14:textId="77777777" w:rsidR="000D0B11" w:rsidRDefault="000D0B11" w:rsidP="000D0B11">
      <w:pPr>
        <w:numPr>
          <w:ilvl w:val="3"/>
          <w:numId w:val="2"/>
        </w:numPr>
        <w:tabs>
          <w:tab w:val="left" w:pos="980"/>
          <w:tab w:val="left" w:pos="981"/>
        </w:tabs>
        <w:autoSpaceDE w:val="0"/>
        <w:autoSpaceDN w:val="0"/>
        <w:spacing w:line="232" w:lineRule="exact"/>
        <w:rPr>
          <w:rFonts w:eastAsia="Verdana" w:cs="Calibri Light"/>
        </w:rPr>
      </w:pPr>
      <w:r w:rsidRPr="00425059">
        <w:rPr>
          <w:rFonts w:eastAsia="Verdana" w:cs="Calibri Light"/>
        </w:rPr>
        <w:t xml:space="preserve">If necessary, prove local ordinances and </w:t>
      </w:r>
      <w:proofErr w:type="gramStart"/>
      <w:r w:rsidRPr="00425059">
        <w:rPr>
          <w:rFonts w:eastAsia="Verdana" w:cs="Calibri Light"/>
        </w:rPr>
        <w:t>rules</w:t>
      </w:r>
      <w:r w:rsidRPr="00425059">
        <w:rPr>
          <w:rFonts w:eastAsia="Verdana" w:cs="Calibri Light"/>
          <w:spacing w:val="-31"/>
        </w:rPr>
        <w:t xml:space="preserve"> </w:t>
      </w:r>
      <w:r>
        <w:rPr>
          <w:rFonts w:eastAsia="Verdana" w:cs="Calibri Light"/>
          <w:spacing w:val="-31"/>
        </w:rPr>
        <w:t xml:space="preserve"> </w:t>
      </w:r>
      <w:r w:rsidRPr="00425059">
        <w:rPr>
          <w:rFonts w:eastAsia="Verdana" w:cs="Calibri Light"/>
        </w:rPr>
        <w:t>by</w:t>
      </w:r>
      <w:proofErr w:type="gramEnd"/>
      <w:r>
        <w:rPr>
          <w:rFonts w:eastAsia="Verdana" w:cs="Calibri Light"/>
        </w:rPr>
        <w:t xml:space="preserve"> </w:t>
      </w:r>
      <w:r w:rsidRPr="000D0B11">
        <w:rPr>
          <w:rFonts w:eastAsia="Verdana" w:cs="Calibri Light"/>
        </w:rPr>
        <w:t>certified copies.</w:t>
      </w:r>
    </w:p>
    <w:p w14:paraId="79E94DC4" w14:textId="75AAF40F" w:rsidR="000D0B11" w:rsidRPr="000D0B11" w:rsidRDefault="000D0B11" w:rsidP="000D0B11">
      <w:pPr>
        <w:numPr>
          <w:ilvl w:val="3"/>
          <w:numId w:val="2"/>
        </w:numPr>
        <w:tabs>
          <w:tab w:val="left" w:pos="980"/>
          <w:tab w:val="left" w:pos="981"/>
        </w:tabs>
        <w:autoSpaceDE w:val="0"/>
        <w:autoSpaceDN w:val="0"/>
        <w:spacing w:line="232" w:lineRule="exact"/>
        <w:rPr>
          <w:rFonts w:eastAsia="Verdana" w:cs="Calibri Light"/>
        </w:rPr>
      </w:pPr>
      <w:r w:rsidRPr="000D0B11">
        <w:rPr>
          <w:rFonts w:eastAsia="Verdana" w:cs="Calibri Light"/>
        </w:rPr>
        <w:t>Judicial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notice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must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be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taken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of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state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rules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>(§</w:t>
      </w:r>
      <w:r w:rsidRPr="000D0B11">
        <w:rPr>
          <w:rFonts w:eastAsia="Verdana" w:cs="Calibri Light"/>
          <w:spacing w:val="-13"/>
        </w:rPr>
        <w:t xml:space="preserve"> </w:t>
      </w:r>
      <w:r w:rsidRPr="000D0B11">
        <w:rPr>
          <w:rFonts w:eastAsia="Verdana" w:cs="Calibri Light"/>
        </w:rPr>
        <w:t xml:space="preserve">150B-64). </w:t>
      </w:r>
      <w:r w:rsidRPr="000D0B11">
        <w:rPr>
          <w:rFonts w:eastAsia="Verdana" w:cs="Calibri Light"/>
          <w:spacing w:val="-5"/>
        </w:rPr>
        <w:t xml:space="preserve">However, </w:t>
      </w:r>
      <w:r w:rsidRPr="000D0B11">
        <w:rPr>
          <w:rFonts w:eastAsia="Verdana" w:cs="Calibri Light"/>
        </w:rPr>
        <w:t>bring a copy of the rules to</w:t>
      </w:r>
      <w:r w:rsidRPr="000D0B11">
        <w:rPr>
          <w:rFonts w:eastAsia="Verdana" w:cs="Calibri Light"/>
          <w:spacing w:val="8"/>
        </w:rPr>
        <w:t xml:space="preserve"> </w:t>
      </w:r>
      <w:r w:rsidRPr="000D0B11">
        <w:rPr>
          <w:rFonts w:eastAsia="Verdana" w:cs="Calibri Light"/>
        </w:rPr>
        <w:t>court.</w:t>
      </w:r>
    </w:p>
    <w:p w14:paraId="70F79416" w14:textId="77777777" w:rsidR="000D0B11" w:rsidRPr="00425059" w:rsidRDefault="000D0B11" w:rsidP="000D0B11">
      <w:pPr>
        <w:tabs>
          <w:tab w:val="left" w:pos="719"/>
          <w:tab w:val="left" w:pos="3035"/>
        </w:tabs>
        <w:autoSpaceDE w:val="0"/>
        <w:autoSpaceDN w:val="0"/>
        <w:spacing w:line="233" w:lineRule="exact"/>
        <w:ind w:left="4475"/>
        <w:rPr>
          <w:rFonts w:eastAsia="Verdana" w:cs="Calibri Light"/>
        </w:rPr>
      </w:pPr>
    </w:p>
    <w:p w14:paraId="4CC811A1" w14:textId="3304A456" w:rsidR="000D0B11" w:rsidRPr="00425059" w:rsidRDefault="000D0B11" w:rsidP="000D0B11">
      <w:pPr>
        <w:autoSpaceDE w:val="0"/>
        <w:autoSpaceDN w:val="0"/>
        <w:spacing w:before="8"/>
        <w:rPr>
          <w:rFonts w:eastAsia="Verdana" w:cs="Calibri Light"/>
        </w:rPr>
        <w:sectPr w:rsidR="000D0B11" w:rsidRPr="00425059" w:rsidSect="001E2922">
          <w:type w:val="continuous"/>
          <w:pgSz w:w="12240" w:h="15840"/>
          <w:pgMar w:top="1540" w:right="980" w:bottom="1120" w:left="920" w:header="1037" w:footer="877" w:gutter="0"/>
          <w:cols w:space="720"/>
        </w:sectPr>
      </w:pPr>
    </w:p>
    <w:p w14:paraId="41BDDEA6" w14:textId="77777777" w:rsidR="006A017D" w:rsidRDefault="006A017D"/>
    <w:sectPr w:rsidR="006A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B28F4"/>
    <w:multiLevelType w:val="hybridMultilevel"/>
    <w:tmpl w:val="BDF61072"/>
    <w:lvl w:ilvl="0" w:tplc="4162C8B0">
      <w:start w:val="1"/>
      <w:numFmt w:val="decimal"/>
      <w:lvlText w:val="%1."/>
      <w:lvlJc w:val="left"/>
      <w:pPr>
        <w:ind w:left="980" w:hanging="720"/>
      </w:pPr>
      <w:rPr>
        <w:rFonts w:ascii="Verdana" w:eastAsia="Verdana" w:hAnsi="Verdana" w:cs="Verdana" w:hint="default"/>
        <w:color w:val="4C4D4F"/>
        <w:spacing w:val="-19"/>
        <w:w w:val="100"/>
        <w:sz w:val="20"/>
        <w:szCs w:val="20"/>
      </w:rPr>
    </w:lvl>
    <w:lvl w:ilvl="1" w:tplc="956E10E2">
      <w:numFmt w:val="bullet"/>
      <w:lvlText w:val="•"/>
      <w:lvlJc w:val="left"/>
      <w:pPr>
        <w:ind w:left="1566" w:hanging="720"/>
      </w:pPr>
      <w:rPr>
        <w:rFonts w:hint="default"/>
      </w:rPr>
    </w:lvl>
    <w:lvl w:ilvl="2" w:tplc="300A4AA0">
      <w:numFmt w:val="bullet"/>
      <w:lvlText w:val="•"/>
      <w:lvlJc w:val="left"/>
      <w:pPr>
        <w:ind w:left="2153" w:hanging="720"/>
      </w:pPr>
      <w:rPr>
        <w:rFonts w:hint="default"/>
      </w:rPr>
    </w:lvl>
    <w:lvl w:ilvl="3" w:tplc="62803A9A">
      <w:numFmt w:val="bullet"/>
      <w:lvlText w:val="•"/>
      <w:lvlJc w:val="left"/>
      <w:pPr>
        <w:ind w:left="2739" w:hanging="720"/>
      </w:pPr>
      <w:rPr>
        <w:rFonts w:hint="default"/>
      </w:rPr>
    </w:lvl>
    <w:lvl w:ilvl="4" w:tplc="A1F2588C">
      <w:numFmt w:val="bullet"/>
      <w:lvlText w:val="•"/>
      <w:lvlJc w:val="left"/>
      <w:pPr>
        <w:ind w:left="3326" w:hanging="720"/>
      </w:pPr>
      <w:rPr>
        <w:rFonts w:hint="default"/>
      </w:rPr>
    </w:lvl>
    <w:lvl w:ilvl="5" w:tplc="70F87358">
      <w:numFmt w:val="bullet"/>
      <w:lvlText w:val="•"/>
      <w:lvlJc w:val="left"/>
      <w:pPr>
        <w:ind w:left="3913" w:hanging="720"/>
      </w:pPr>
      <w:rPr>
        <w:rFonts w:hint="default"/>
      </w:rPr>
    </w:lvl>
    <w:lvl w:ilvl="6" w:tplc="5DAC2864">
      <w:numFmt w:val="bullet"/>
      <w:lvlText w:val="•"/>
      <w:lvlJc w:val="left"/>
      <w:pPr>
        <w:ind w:left="4499" w:hanging="720"/>
      </w:pPr>
      <w:rPr>
        <w:rFonts w:hint="default"/>
      </w:rPr>
    </w:lvl>
    <w:lvl w:ilvl="7" w:tplc="DEBC68EE">
      <w:numFmt w:val="bullet"/>
      <w:lvlText w:val="•"/>
      <w:lvlJc w:val="left"/>
      <w:pPr>
        <w:ind w:left="5086" w:hanging="720"/>
      </w:pPr>
      <w:rPr>
        <w:rFonts w:hint="default"/>
      </w:rPr>
    </w:lvl>
    <w:lvl w:ilvl="8" w:tplc="F496BE6A">
      <w:numFmt w:val="bullet"/>
      <w:lvlText w:val="•"/>
      <w:lvlJc w:val="left"/>
      <w:pPr>
        <w:ind w:left="5672" w:hanging="720"/>
      </w:pPr>
      <w:rPr>
        <w:rFonts w:hint="default"/>
      </w:rPr>
    </w:lvl>
  </w:abstractNum>
  <w:abstractNum w:abstractNumId="1" w15:restartNumberingAfterBreak="0">
    <w:nsid w:val="4B996AE3"/>
    <w:multiLevelType w:val="hybridMultilevel"/>
    <w:tmpl w:val="61C409F4"/>
    <w:lvl w:ilvl="0" w:tplc="5F362ADE">
      <w:start w:val="1"/>
      <w:numFmt w:val="decimal"/>
      <w:lvlText w:val="%1."/>
      <w:lvlJc w:val="left"/>
      <w:pPr>
        <w:ind w:left="880" w:hanging="720"/>
      </w:pPr>
      <w:rPr>
        <w:rFonts w:ascii="Verdana" w:eastAsia="Verdana" w:hAnsi="Verdana" w:cs="Verdana" w:hint="default"/>
        <w:color w:val="4C4D4F"/>
        <w:spacing w:val="-3"/>
        <w:w w:val="100"/>
        <w:sz w:val="20"/>
        <w:szCs w:val="20"/>
      </w:rPr>
    </w:lvl>
    <w:lvl w:ilvl="1" w:tplc="D9A647AC">
      <w:start w:val="1"/>
      <w:numFmt w:val="lowerLetter"/>
      <w:lvlText w:val="%2."/>
      <w:lvlJc w:val="left"/>
      <w:pPr>
        <w:ind w:left="2320" w:hanging="720"/>
      </w:pPr>
      <w:rPr>
        <w:rFonts w:ascii="Verdana" w:eastAsia="Verdana" w:hAnsi="Verdana" w:cs="Verdana" w:hint="default"/>
        <w:color w:val="4C4D4F"/>
        <w:w w:val="100"/>
        <w:sz w:val="20"/>
        <w:szCs w:val="20"/>
      </w:rPr>
    </w:lvl>
    <w:lvl w:ilvl="2" w:tplc="24123852">
      <w:start w:val="1"/>
      <w:numFmt w:val="lowerRoman"/>
      <w:lvlText w:val="%3."/>
      <w:lvlJc w:val="left"/>
      <w:pPr>
        <w:ind w:left="3040" w:hanging="720"/>
      </w:pPr>
      <w:rPr>
        <w:rFonts w:ascii="Verdana" w:eastAsia="Verdana" w:hAnsi="Verdana" w:cs="Verdana" w:hint="default"/>
        <w:color w:val="4C4D4F"/>
        <w:w w:val="99"/>
        <w:sz w:val="20"/>
        <w:szCs w:val="20"/>
      </w:rPr>
    </w:lvl>
    <w:lvl w:ilvl="3" w:tplc="0CA6B932">
      <w:start w:val="1"/>
      <w:numFmt w:val="decimal"/>
      <w:lvlText w:val="%4."/>
      <w:lvlJc w:val="left"/>
      <w:pPr>
        <w:ind w:left="4475" w:hanging="720"/>
      </w:pPr>
      <w:rPr>
        <w:rFonts w:ascii="Verdana" w:eastAsia="Verdana" w:hAnsi="Verdana" w:cs="Verdana" w:hint="default"/>
        <w:color w:val="4C4D4F"/>
        <w:spacing w:val="-3"/>
        <w:w w:val="100"/>
        <w:sz w:val="20"/>
        <w:szCs w:val="20"/>
      </w:rPr>
    </w:lvl>
    <w:lvl w:ilvl="4" w:tplc="2C507ACE">
      <w:numFmt w:val="bullet"/>
      <w:lvlText w:val="•"/>
      <w:lvlJc w:val="left"/>
      <w:pPr>
        <w:ind w:left="5317" w:hanging="720"/>
      </w:pPr>
      <w:rPr>
        <w:rFonts w:hint="default"/>
      </w:rPr>
    </w:lvl>
    <w:lvl w:ilvl="5" w:tplc="9A4A9E90">
      <w:numFmt w:val="bullet"/>
      <w:lvlText w:val="•"/>
      <w:lvlJc w:val="left"/>
      <w:pPr>
        <w:ind w:left="6154" w:hanging="720"/>
      </w:pPr>
      <w:rPr>
        <w:rFonts w:hint="default"/>
      </w:rPr>
    </w:lvl>
    <w:lvl w:ilvl="6" w:tplc="A32411E0">
      <w:numFmt w:val="bullet"/>
      <w:lvlText w:val="•"/>
      <w:lvlJc w:val="left"/>
      <w:pPr>
        <w:ind w:left="6991" w:hanging="720"/>
      </w:pPr>
      <w:rPr>
        <w:rFonts w:hint="default"/>
      </w:rPr>
    </w:lvl>
    <w:lvl w:ilvl="7" w:tplc="2950526C">
      <w:numFmt w:val="bullet"/>
      <w:lvlText w:val="•"/>
      <w:lvlJc w:val="left"/>
      <w:pPr>
        <w:ind w:left="7828" w:hanging="720"/>
      </w:pPr>
      <w:rPr>
        <w:rFonts w:hint="default"/>
      </w:rPr>
    </w:lvl>
    <w:lvl w:ilvl="8" w:tplc="74102EBE">
      <w:numFmt w:val="bullet"/>
      <w:lvlText w:val="•"/>
      <w:lvlJc w:val="left"/>
      <w:pPr>
        <w:ind w:left="8665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11"/>
    <w:rsid w:val="000D0B11"/>
    <w:rsid w:val="0010096E"/>
    <w:rsid w:val="006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DDB3"/>
  <w15:chartTrackingRefBased/>
  <w15:docId w15:val="{AC385EB0-BDB9-4DB6-B0B6-6B82B2A0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D0B1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leg.net/EnactedLegislation/Statutes/HTML/BySection/Chapter_14/GS_14-3.html" TargetMode="External"/><Relationship Id="rId5" Type="http://schemas.openxmlformats.org/officeDocument/2006/relationships/hyperlink" Target="https://www.ncleg.net/gascripts/statutes/statutelookup.pl?statute=130A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Johanna J</dc:creator>
  <cp:keywords/>
  <dc:description/>
  <cp:lastModifiedBy>Hill, Johanna J</cp:lastModifiedBy>
  <cp:revision>2</cp:revision>
  <dcterms:created xsi:type="dcterms:W3CDTF">2018-07-03T18:34:00Z</dcterms:created>
  <dcterms:modified xsi:type="dcterms:W3CDTF">2018-07-03T18:37:00Z</dcterms:modified>
</cp:coreProperties>
</file>